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AD" w:rsidRPr="009B5870" w:rsidRDefault="00257FAD" w:rsidP="009B5870">
      <w:pPr>
        <w:jc w:val="center"/>
        <w:rPr>
          <w:sz w:val="40"/>
          <w:szCs w:val="40"/>
          <w:u w:val="single"/>
        </w:rPr>
      </w:pPr>
      <w:r w:rsidRPr="009B5870">
        <w:rPr>
          <w:sz w:val="40"/>
          <w:szCs w:val="40"/>
          <w:u w:val="single"/>
        </w:rPr>
        <w:t xml:space="preserve">Refractive Surgery for </w:t>
      </w:r>
      <w:r w:rsidR="009B5870">
        <w:rPr>
          <w:sz w:val="40"/>
          <w:szCs w:val="40"/>
          <w:u w:val="single"/>
        </w:rPr>
        <w:t xml:space="preserve">Non-Aviation </w:t>
      </w:r>
      <w:r w:rsidRPr="009B5870">
        <w:rPr>
          <w:sz w:val="40"/>
          <w:szCs w:val="40"/>
          <w:u w:val="single"/>
        </w:rPr>
        <w:t>Military Personnel</w:t>
      </w:r>
      <w:r w:rsidR="00041F4A" w:rsidRPr="009B5870">
        <w:rPr>
          <w:sz w:val="40"/>
          <w:szCs w:val="40"/>
          <w:u w:val="single"/>
        </w:rPr>
        <w:t>:</w:t>
      </w:r>
    </w:p>
    <w:p w:rsidR="00257FAD" w:rsidRPr="009B5870" w:rsidRDefault="00257FAD" w:rsidP="009B5870">
      <w:pPr>
        <w:rPr>
          <w:sz w:val="26"/>
          <w:szCs w:val="26"/>
        </w:rPr>
      </w:pPr>
      <w:r w:rsidRPr="009B5870">
        <w:rPr>
          <w:sz w:val="26"/>
          <w:szCs w:val="26"/>
        </w:rPr>
        <w:t xml:space="preserve">Eligibility: All active duty personnel are eligible for </w:t>
      </w:r>
      <w:r w:rsidR="009B5870" w:rsidRPr="009B5870">
        <w:rPr>
          <w:sz w:val="26"/>
          <w:szCs w:val="26"/>
        </w:rPr>
        <w:t xml:space="preserve">refractive LASIK/PRK unless </w:t>
      </w:r>
      <w:r w:rsidRPr="009B5870">
        <w:rPr>
          <w:sz w:val="26"/>
          <w:szCs w:val="26"/>
        </w:rPr>
        <w:t>specifically excluded.  T</w:t>
      </w:r>
      <w:r w:rsidR="00041F4A" w:rsidRPr="009B5870">
        <w:rPr>
          <w:sz w:val="26"/>
          <w:szCs w:val="26"/>
        </w:rPr>
        <w:t xml:space="preserve">o be considered for LASIK/PRK, </w:t>
      </w:r>
      <w:r w:rsidRPr="009B5870">
        <w:rPr>
          <w:sz w:val="26"/>
          <w:szCs w:val="26"/>
        </w:rPr>
        <w:t xml:space="preserve">the service member must: </w:t>
      </w:r>
    </w:p>
    <w:p w:rsidR="00257FAD" w:rsidRPr="009B5870" w:rsidRDefault="00257FAD">
      <w:pPr>
        <w:rPr>
          <w:sz w:val="26"/>
          <w:szCs w:val="26"/>
        </w:rPr>
      </w:pPr>
      <w:r w:rsidRPr="009B5870">
        <w:rPr>
          <w:sz w:val="26"/>
          <w:szCs w:val="26"/>
        </w:rPr>
        <w:tab/>
      </w:r>
      <w:r w:rsidRPr="009B5870">
        <w:rPr>
          <w:sz w:val="26"/>
          <w:szCs w:val="26"/>
        </w:rPr>
        <w:tab/>
        <w:t>1.</w:t>
      </w:r>
      <w:r w:rsidRPr="009B5870">
        <w:rPr>
          <w:sz w:val="26"/>
          <w:szCs w:val="26"/>
        </w:rPr>
        <w:tab/>
        <w:t xml:space="preserve">Seek consultation with a military treatment facility eye care </w:t>
      </w:r>
      <w:r w:rsidR="009B5870">
        <w:rPr>
          <w:sz w:val="26"/>
          <w:szCs w:val="26"/>
        </w:rPr>
        <w:tab/>
      </w:r>
      <w:r w:rsidR="009B5870">
        <w:rPr>
          <w:sz w:val="26"/>
          <w:szCs w:val="26"/>
        </w:rPr>
        <w:tab/>
      </w:r>
      <w:r w:rsidR="009B5870">
        <w:rPr>
          <w:sz w:val="26"/>
          <w:szCs w:val="26"/>
        </w:rPr>
        <w:tab/>
      </w:r>
      <w:r w:rsidR="009B5870">
        <w:rPr>
          <w:sz w:val="26"/>
          <w:szCs w:val="26"/>
        </w:rPr>
        <w:tab/>
      </w:r>
      <w:r w:rsidR="009B5870">
        <w:rPr>
          <w:sz w:val="26"/>
          <w:szCs w:val="26"/>
        </w:rPr>
        <w:tab/>
      </w:r>
      <w:r w:rsidRPr="009B5870">
        <w:rPr>
          <w:sz w:val="26"/>
          <w:szCs w:val="26"/>
        </w:rPr>
        <w:t>provider.</w:t>
      </w:r>
    </w:p>
    <w:p w:rsidR="00257FAD" w:rsidRPr="009B5870" w:rsidRDefault="00257FAD">
      <w:pPr>
        <w:rPr>
          <w:sz w:val="26"/>
          <w:szCs w:val="26"/>
        </w:rPr>
      </w:pPr>
      <w:r w:rsidRPr="009B5870">
        <w:rPr>
          <w:sz w:val="26"/>
          <w:szCs w:val="26"/>
        </w:rPr>
        <w:tab/>
      </w:r>
      <w:r w:rsidRPr="009B5870">
        <w:rPr>
          <w:sz w:val="26"/>
          <w:szCs w:val="26"/>
        </w:rPr>
        <w:tab/>
        <w:t>2.</w:t>
      </w:r>
      <w:r w:rsidRPr="009B5870">
        <w:rPr>
          <w:sz w:val="26"/>
          <w:szCs w:val="26"/>
        </w:rPr>
        <w:tab/>
        <w:t>Obtain written approval from his or her command.</w:t>
      </w:r>
    </w:p>
    <w:p w:rsidR="00257FAD" w:rsidRPr="009B5870" w:rsidRDefault="00257FAD">
      <w:pPr>
        <w:rPr>
          <w:sz w:val="26"/>
          <w:szCs w:val="26"/>
        </w:rPr>
      </w:pPr>
      <w:r w:rsidRPr="009B5870">
        <w:rPr>
          <w:sz w:val="26"/>
          <w:szCs w:val="26"/>
        </w:rPr>
        <w:tab/>
      </w:r>
      <w:r w:rsidRPr="009B5870">
        <w:rPr>
          <w:sz w:val="26"/>
          <w:szCs w:val="26"/>
        </w:rPr>
        <w:tab/>
        <w:t>3.</w:t>
      </w:r>
      <w:r w:rsidRPr="009B5870">
        <w:rPr>
          <w:sz w:val="26"/>
          <w:szCs w:val="26"/>
        </w:rPr>
        <w:tab/>
        <w:t>Provide informed consent to the refractive surgeon.</w:t>
      </w:r>
    </w:p>
    <w:p w:rsidR="001408FC" w:rsidRPr="009B5870" w:rsidRDefault="00B46474" w:rsidP="00B46474">
      <w:pPr>
        <w:ind w:left="720"/>
        <w:rPr>
          <w:sz w:val="26"/>
          <w:szCs w:val="26"/>
        </w:rPr>
      </w:pPr>
      <w:r w:rsidRPr="009B5870">
        <w:rPr>
          <w:sz w:val="26"/>
          <w:szCs w:val="26"/>
        </w:rPr>
        <w:t xml:space="preserve">Because the primary purpose of the program </w:t>
      </w:r>
      <w:r w:rsidR="009B5870" w:rsidRPr="009B5870">
        <w:rPr>
          <w:sz w:val="26"/>
          <w:szCs w:val="26"/>
        </w:rPr>
        <w:t>is</w:t>
      </w:r>
      <w:r w:rsidRPr="009B5870">
        <w:rPr>
          <w:sz w:val="26"/>
          <w:szCs w:val="26"/>
        </w:rPr>
        <w:t xml:space="preserve"> readiness and performance enhancement, LASIK will usually not be offered to members who anticipate separation or retirement within the 12 months following surgery.  </w:t>
      </w:r>
    </w:p>
    <w:p w:rsidR="00B46474" w:rsidRPr="009B5870" w:rsidRDefault="00B46474" w:rsidP="00B46474">
      <w:pPr>
        <w:ind w:left="720"/>
        <w:rPr>
          <w:sz w:val="26"/>
          <w:szCs w:val="26"/>
        </w:rPr>
      </w:pPr>
    </w:p>
    <w:p w:rsidR="001408FC" w:rsidRPr="009B5870" w:rsidRDefault="001408FC">
      <w:pPr>
        <w:rPr>
          <w:sz w:val="26"/>
          <w:szCs w:val="26"/>
        </w:rPr>
      </w:pPr>
      <w:r w:rsidRPr="009B5870">
        <w:rPr>
          <w:sz w:val="26"/>
          <w:szCs w:val="26"/>
        </w:rPr>
        <w:tab/>
        <w:t>The following is a list of specific conditions that disqualify one for LASIK/PRK:</w:t>
      </w:r>
    </w:p>
    <w:p w:rsidR="001408FC" w:rsidRPr="009B5870" w:rsidRDefault="00924431" w:rsidP="0092443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B5870">
        <w:rPr>
          <w:sz w:val="26"/>
          <w:szCs w:val="26"/>
        </w:rPr>
        <w:t xml:space="preserve">Concurrent topical or systemic medications that may impair healing, including corticosteroids, </w:t>
      </w:r>
      <w:proofErr w:type="spellStart"/>
      <w:r w:rsidRPr="009B5870">
        <w:rPr>
          <w:sz w:val="26"/>
          <w:szCs w:val="26"/>
        </w:rPr>
        <w:t>antimetabolites</w:t>
      </w:r>
      <w:proofErr w:type="spellEnd"/>
      <w:r w:rsidRPr="009B5870">
        <w:rPr>
          <w:sz w:val="26"/>
          <w:szCs w:val="26"/>
        </w:rPr>
        <w:t xml:space="preserve">, </w:t>
      </w:r>
      <w:proofErr w:type="spellStart"/>
      <w:r w:rsidRPr="009B5870">
        <w:rPr>
          <w:sz w:val="26"/>
          <w:szCs w:val="26"/>
        </w:rPr>
        <w:t>isotretinoin</w:t>
      </w:r>
      <w:proofErr w:type="spellEnd"/>
      <w:r w:rsidRPr="009B5870">
        <w:rPr>
          <w:sz w:val="26"/>
          <w:szCs w:val="26"/>
        </w:rPr>
        <w:t xml:space="preserve"> (</w:t>
      </w:r>
      <w:proofErr w:type="spellStart"/>
      <w:r w:rsidRPr="009B5870">
        <w:rPr>
          <w:sz w:val="26"/>
          <w:szCs w:val="26"/>
        </w:rPr>
        <w:t>Accutane</w:t>
      </w:r>
      <w:proofErr w:type="spellEnd"/>
      <w:r w:rsidRPr="009B5870">
        <w:rPr>
          <w:sz w:val="26"/>
          <w:szCs w:val="26"/>
        </w:rPr>
        <w:t xml:space="preserve">®), </w:t>
      </w:r>
      <w:proofErr w:type="spellStart"/>
      <w:r w:rsidRPr="009B5870">
        <w:rPr>
          <w:sz w:val="26"/>
          <w:szCs w:val="26"/>
        </w:rPr>
        <w:t>amiodarone</w:t>
      </w:r>
      <w:proofErr w:type="spellEnd"/>
      <w:r w:rsidRPr="009B5870">
        <w:rPr>
          <w:sz w:val="26"/>
          <w:szCs w:val="26"/>
        </w:rPr>
        <w:t xml:space="preserve"> hydrochloride (</w:t>
      </w:r>
      <w:proofErr w:type="spellStart"/>
      <w:r w:rsidRPr="009B5870">
        <w:rPr>
          <w:sz w:val="26"/>
          <w:szCs w:val="26"/>
        </w:rPr>
        <w:t>Cordarone</w:t>
      </w:r>
      <w:proofErr w:type="spellEnd"/>
      <w:r w:rsidRPr="009B5870">
        <w:rPr>
          <w:sz w:val="26"/>
          <w:szCs w:val="26"/>
        </w:rPr>
        <w:t xml:space="preserve">®), and </w:t>
      </w:r>
      <w:proofErr w:type="spellStart"/>
      <w:r w:rsidRPr="009B5870">
        <w:rPr>
          <w:sz w:val="26"/>
          <w:szCs w:val="26"/>
        </w:rPr>
        <w:t>sumatriptan</w:t>
      </w:r>
      <w:proofErr w:type="spellEnd"/>
      <w:r w:rsidRPr="009B5870">
        <w:rPr>
          <w:sz w:val="26"/>
          <w:szCs w:val="26"/>
        </w:rPr>
        <w:t xml:space="preserve"> (</w:t>
      </w:r>
      <w:proofErr w:type="spellStart"/>
      <w:r w:rsidRPr="009B5870">
        <w:rPr>
          <w:sz w:val="26"/>
          <w:szCs w:val="26"/>
        </w:rPr>
        <w:t>Imitrex</w:t>
      </w:r>
      <w:proofErr w:type="spellEnd"/>
      <w:r w:rsidRPr="009B5870">
        <w:rPr>
          <w:sz w:val="26"/>
          <w:szCs w:val="26"/>
        </w:rPr>
        <w:t>®)</w:t>
      </w:r>
    </w:p>
    <w:p w:rsidR="00924431" w:rsidRPr="009B5870" w:rsidRDefault="00924431" w:rsidP="0092443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B5870">
        <w:rPr>
          <w:sz w:val="26"/>
          <w:szCs w:val="26"/>
        </w:rPr>
        <w:t>Medical conditions that may impair healing, including, but not limited to: collagen vascular disease, autoimmune disease, and immunodeficiency diseases</w:t>
      </w:r>
    </w:p>
    <w:p w:rsidR="00924431" w:rsidRPr="009B5870" w:rsidRDefault="00924431" w:rsidP="0092443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B5870">
        <w:rPr>
          <w:sz w:val="26"/>
          <w:szCs w:val="26"/>
        </w:rPr>
        <w:t>Active ophthalmic disease or significant crystalline lens opacity</w:t>
      </w:r>
    </w:p>
    <w:p w:rsidR="00924431" w:rsidRPr="009B5870" w:rsidRDefault="00924431" w:rsidP="0092443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B5870">
        <w:rPr>
          <w:sz w:val="26"/>
          <w:szCs w:val="26"/>
        </w:rPr>
        <w:t>Evidence of glaucoma</w:t>
      </w:r>
    </w:p>
    <w:p w:rsidR="00924431" w:rsidRPr="009B5870" w:rsidRDefault="00924431" w:rsidP="0092443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B5870">
        <w:rPr>
          <w:sz w:val="26"/>
          <w:szCs w:val="26"/>
        </w:rPr>
        <w:t xml:space="preserve">Evidence of </w:t>
      </w:r>
      <w:proofErr w:type="spellStart"/>
      <w:r w:rsidRPr="009B5870">
        <w:rPr>
          <w:sz w:val="26"/>
          <w:szCs w:val="26"/>
        </w:rPr>
        <w:t>keratoconus</w:t>
      </w:r>
      <w:proofErr w:type="spellEnd"/>
      <w:r w:rsidRPr="009B5870">
        <w:rPr>
          <w:sz w:val="26"/>
          <w:szCs w:val="26"/>
        </w:rPr>
        <w:t xml:space="preserve">, corneal irregularity, or abnormal </w:t>
      </w:r>
      <w:proofErr w:type="spellStart"/>
      <w:r w:rsidRPr="009B5870">
        <w:rPr>
          <w:sz w:val="26"/>
          <w:szCs w:val="26"/>
        </w:rPr>
        <w:t>videokeratography</w:t>
      </w:r>
      <w:proofErr w:type="spellEnd"/>
      <w:r w:rsidRPr="009B5870">
        <w:rPr>
          <w:sz w:val="26"/>
          <w:szCs w:val="26"/>
        </w:rPr>
        <w:t xml:space="preserve"> in either eye</w:t>
      </w:r>
    </w:p>
    <w:p w:rsidR="00924431" w:rsidRPr="009B5870" w:rsidRDefault="00924431" w:rsidP="0092443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B5870">
        <w:rPr>
          <w:sz w:val="26"/>
          <w:szCs w:val="26"/>
        </w:rPr>
        <w:t>Known sensitivity or inappropriate responsiveness to any of the medications used in the postoperative care</w:t>
      </w:r>
    </w:p>
    <w:p w:rsidR="00041F4A" w:rsidRDefault="00924431" w:rsidP="009B5870">
      <w:pPr>
        <w:ind w:left="720"/>
      </w:pPr>
      <w:r w:rsidRPr="009B5870">
        <w:rPr>
          <w:sz w:val="26"/>
          <w:szCs w:val="26"/>
        </w:rPr>
        <w:t>Females who are pregnant, breast-feeding or intend to become pregnant within three months following the procedure are not eligible for LASIK.  The refractive surgeon will make the final decision regarding eligibility and medical appropriateness.</w:t>
      </w:r>
    </w:p>
    <w:sectPr w:rsidR="00041F4A" w:rsidSect="00067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540EA"/>
    <w:multiLevelType w:val="hybridMultilevel"/>
    <w:tmpl w:val="01F0D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7FAD"/>
    <w:rsid w:val="00041F4A"/>
    <w:rsid w:val="00067B98"/>
    <w:rsid w:val="001408FC"/>
    <w:rsid w:val="00257FAD"/>
    <w:rsid w:val="003D22E3"/>
    <w:rsid w:val="004D6B56"/>
    <w:rsid w:val="006D3486"/>
    <w:rsid w:val="00767D90"/>
    <w:rsid w:val="00924431"/>
    <w:rsid w:val="009B5870"/>
    <w:rsid w:val="009D0443"/>
    <w:rsid w:val="009E0D16"/>
    <w:rsid w:val="00A14579"/>
    <w:rsid w:val="00A9463F"/>
    <w:rsid w:val="00B46474"/>
    <w:rsid w:val="00C104C4"/>
    <w:rsid w:val="00C7406A"/>
    <w:rsid w:val="00D33144"/>
    <w:rsid w:val="00D90A00"/>
    <w:rsid w:val="00D90D2D"/>
    <w:rsid w:val="00D9330F"/>
    <w:rsid w:val="00E540E9"/>
    <w:rsid w:val="00EF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F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44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6B56"/>
    <w:rPr>
      <w:color w:val="800080" w:themeColor="followedHyperlink"/>
      <w:u w:val="single"/>
    </w:rPr>
  </w:style>
  <w:style w:type="paragraph" w:customStyle="1" w:styleId="Default">
    <w:name w:val="Default"/>
    <w:rsid w:val="00E54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46F0981AA4243BDEECAF5C8DA8D20" ma:contentTypeVersion="1" ma:contentTypeDescription="Create a new document." ma:contentTypeScope="" ma:versionID="99fe042be098489ddb837cb5e07350f2">
  <xsd:schema xmlns:xsd="http://www.w3.org/2001/XMLSchema" xmlns:xs="http://www.w3.org/2001/XMLSchema" xmlns:p="http://schemas.microsoft.com/office/2006/metadata/properties" xmlns:ns1="http://schemas.microsoft.com/sharepoint/v3" xmlns:ns2="86ac6a72-3216-4517-ac91-5c621c97ffab" targetNamespace="http://schemas.microsoft.com/office/2006/metadata/properties" ma:root="true" ma:fieldsID="540412bc0dd12d7057857c148dcfa06f" ns1:_="" ns2:_="">
    <xsd:import namespace="http://schemas.microsoft.com/sharepoint/v3"/>
    <xsd:import namespace="86ac6a72-3216-4517-ac91-5c621c97ff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c6a72-3216-4517-ac91-5c621c97ffa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86ac6a72-3216-4517-ac91-5c621c97ffab">T335MY4NFX7N-26-13</_dlc_DocId>
    <_dlc_DocIdUrl xmlns="86ac6a72-3216-4517-ac91-5c621c97ffab">
      <Url>https://admin.med.navy.mil/sites/usnhguam/Patients/_layouts/DocIdRedir.aspx?ID=T335MY4NFX7N-26-13</Url>
      <Description>T335MY4NFX7N-26-13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593E55-D494-4A15-9A15-CDCA37F1BC9D}"/>
</file>

<file path=customXml/itemProps2.xml><?xml version="1.0" encoding="utf-8"?>
<ds:datastoreItem xmlns:ds="http://schemas.openxmlformats.org/officeDocument/2006/customXml" ds:itemID="{0E466925-E6DE-43A3-88A9-F2409CBE6E90}"/>
</file>

<file path=customXml/itemProps3.xml><?xml version="1.0" encoding="utf-8"?>
<ds:datastoreItem xmlns:ds="http://schemas.openxmlformats.org/officeDocument/2006/customXml" ds:itemID="{FEA26D06-7D33-47E5-BED2-F6B8890C273E}"/>
</file>

<file path=customXml/itemProps4.xml><?xml version="1.0" encoding="utf-8"?>
<ds:datastoreItem xmlns:ds="http://schemas.openxmlformats.org/officeDocument/2006/customXml" ds:itemID="{4418220F-E0DB-40E6-8E59-2F57F5A38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USNH GUAM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Brent.Collins</dc:creator>
  <cp:keywords/>
  <dc:description/>
  <cp:lastModifiedBy>Brent.Collins</cp:lastModifiedBy>
  <cp:revision>2</cp:revision>
  <dcterms:created xsi:type="dcterms:W3CDTF">2012-12-27T04:07:00Z</dcterms:created>
  <dcterms:modified xsi:type="dcterms:W3CDTF">2012-12-27T04:07:00Z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0x0101004B846F0981AA4243BDEECAF5C8DA8D20</vt:lpwstr>
  </property>
  <property fmtid="{D5CDD505-2E9C-101B-9397-08002B2CF9AE}" pid="3" name="_dlc_DocIdItemGuid">
    <vt:lpwstr>e9b90795-28f6-4419-b25b-beb094fc96ef</vt:lpwstr>
  </property>
</Properties>
</file>